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17DB" w14:textId="2CA5F9D3" w:rsidR="00F90459" w:rsidRPr="00F90459" w:rsidRDefault="00F90459" w:rsidP="00F90459">
      <w:pPr>
        <w:jc w:val="center"/>
        <w:rPr>
          <w:rStyle w:val="Emphasis"/>
          <w:rFonts w:ascii="Times New Roman" w:hAnsi="Times New Roman"/>
          <w:i w:val="0"/>
          <w:iCs w:val="0"/>
          <w:sz w:val="32"/>
          <w:szCs w:val="32"/>
        </w:rPr>
      </w:pPr>
      <w:r w:rsidRPr="00CE4880">
        <w:rPr>
          <w:rStyle w:val="Strong"/>
          <w:sz w:val="32"/>
          <w:szCs w:val="32"/>
        </w:rPr>
        <w:t xml:space="preserve">Sample </w:t>
      </w:r>
      <w:r>
        <w:rPr>
          <w:rStyle w:val="Strong"/>
          <w:sz w:val="32"/>
          <w:szCs w:val="32"/>
        </w:rPr>
        <w:t>Executive Summary</w:t>
      </w:r>
      <w:r w:rsidRPr="00CE4880">
        <w:rPr>
          <w:rStyle w:val="Strong"/>
          <w:sz w:val="32"/>
          <w:szCs w:val="32"/>
        </w:rPr>
        <w:t xml:space="preserve"> – </w:t>
      </w:r>
      <w:r>
        <w:rPr>
          <w:rStyle w:val="Strong"/>
          <w:sz w:val="32"/>
          <w:szCs w:val="32"/>
        </w:rPr>
        <w:t>Public</w:t>
      </w:r>
      <w:r w:rsidRPr="00CE4880">
        <w:rPr>
          <w:rStyle w:val="Strong"/>
          <w:sz w:val="32"/>
          <w:szCs w:val="32"/>
        </w:rPr>
        <w:t xml:space="preserve"> </w:t>
      </w:r>
      <w:r>
        <w:rPr>
          <w:rStyle w:val="Strong"/>
          <w:sz w:val="32"/>
          <w:szCs w:val="32"/>
        </w:rPr>
        <w:t xml:space="preserve">School Educational Counsel </w:t>
      </w:r>
      <w:r w:rsidRPr="00CE4880">
        <w:rPr>
          <w:rStyle w:val="Strong"/>
          <w:sz w:val="32"/>
          <w:szCs w:val="32"/>
        </w:rPr>
        <w:t>RFP</w:t>
      </w:r>
    </w:p>
    <w:p w14:paraId="6A7D1203" w14:textId="700F486E" w:rsidR="00F90459" w:rsidRPr="00F90459" w:rsidRDefault="00F90459">
      <w:pPr>
        <w:rPr>
          <w:sz w:val="20"/>
          <w:szCs w:val="20"/>
        </w:rPr>
      </w:pPr>
      <w:r w:rsidRPr="00AD5728">
        <w:rPr>
          <w:rStyle w:val="Emphasis"/>
          <w:sz w:val="20"/>
          <w:szCs w:val="20"/>
        </w:rPr>
        <w:t>This is a representative sample of a</w:t>
      </w:r>
      <w:r>
        <w:rPr>
          <w:rStyle w:val="Emphasis"/>
          <w:sz w:val="20"/>
          <w:szCs w:val="20"/>
        </w:rPr>
        <w:t xml:space="preserve">n Executive Summary for an educational counsel RFP for a California public school system. </w:t>
      </w:r>
      <w:r w:rsidRPr="00AD5728">
        <w:rPr>
          <w:rStyle w:val="Emphasis"/>
          <w:sz w:val="20"/>
          <w:szCs w:val="20"/>
        </w:rPr>
        <w:t>Names, organizations, and project details have been modified for confidentiality and illustrative purposes.</w:t>
      </w:r>
      <w:r w:rsidR="00B404C2">
        <w:rPr>
          <w:rStyle w:val="Emphasis"/>
          <w:sz w:val="20"/>
          <w:szCs w:val="20"/>
        </w:rPr>
        <w:t xml:space="preserve"> There are two versions. </w:t>
      </w:r>
    </w:p>
    <w:p w14:paraId="410FADD2" w14:textId="6A754C9E" w:rsidR="00B404C2" w:rsidRPr="00B404C2" w:rsidRDefault="00B404C2" w:rsidP="00B404C2">
      <w:pPr>
        <w:jc w:val="center"/>
        <w:rPr>
          <w:b/>
          <w:bCs/>
          <w:sz w:val="28"/>
          <w:szCs w:val="28"/>
        </w:rPr>
      </w:pPr>
      <w:r w:rsidRPr="00B404C2">
        <w:rPr>
          <w:b/>
          <w:bCs/>
          <w:sz w:val="28"/>
          <w:szCs w:val="28"/>
        </w:rPr>
        <w:t>Version 1: Traditional Capabilities Summary</w:t>
      </w:r>
    </w:p>
    <w:p w14:paraId="2A66C0CC" w14:textId="788C7FCC" w:rsidR="009A365A" w:rsidRDefault="00000000">
      <w:r>
        <w:t xml:space="preserve">This proposal outlines the qualifications of </w:t>
      </w:r>
      <w:r w:rsidR="007528A9" w:rsidRPr="007528A9">
        <w:t>Monroe</w:t>
      </w:r>
      <w:r w:rsidR="007528A9">
        <w:t xml:space="preserve">, </w:t>
      </w:r>
      <w:r w:rsidR="007528A9" w:rsidRPr="007528A9">
        <w:t xml:space="preserve">Ashton </w:t>
      </w:r>
      <w:r w:rsidR="007528A9">
        <w:t xml:space="preserve">&amp; </w:t>
      </w:r>
      <w:r w:rsidR="007528A9" w:rsidRPr="007528A9">
        <w:t xml:space="preserve">Vale </w:t>
      </w:r>
      <w:r>
        <w:t xml:space="preserve">LLP to serve as outside legal counsel for the </w:t>
      </w:r>
      <w:r w:rsidR="007528A9">
        <w:t>Morgan</w:t>
      </w:r>
      <w:r>
        <w:t xml:space="preserve"> Valley Unified School District. With over 20 years of experience advising California school districts, our firm brings a deep understanding of the legal, operational, and financial realities of public education systems.</w:t>
      </w:r>
    </w:p>
    <w:p w14:paraId="42FF0B81" w14:textId="1C5C622A" w:rsidR="009A365A" w:rsidRDefault="007528A9">
      <w:r>
        <w:t xml:space="preserve">Morgan Valley will benefit from a legal team that combines courtroom experience with day-to-day school operations expertise. Our attorneys specialize in Brown Act compliance, student </w:t>
      </w:r>
      <w:r w:rsidR="00C908BB">
        <w:t xml:space="preserve">rights and discipline, </w:t>
      </w:r>
      <w:r>
        <w:t xml:space="preserve">labor negotiations, charter oversight, and education facilities law. We approach every client relationship with responsiveness, </w:t>
      </w:r>
      <w:r w:rsidR="00C908BB">
        <w:t>integrity</w:t>
      </w:r>
      <w:r>
        <w:t>, and long-term value in mind.</w:t>
      </w:r>
    </w:p>
    <w:p w14:paraId="4D6932F2" w14:textId="77777777" w:rsidR="009A365A" w:rsidRDefault="00000000" w:rsidP="00F90459">
      <w:pPr>
        <w:spacing w:after="0"/>
      </w:pPr>
      <w:r>
        <w:t>Key strengths include:</w:t>
      </w:r>
    </w:p>
    <w:p w14:paraId="7AFE22F6" w14:textId="428809B9" w:rsidR="00D71E06" w:rsidRPr="00D71E06" w:rsidRDefault="00D71E06" w:rsidP="005628AB">
      <w:pPr>
        <w:pStyle w:val="NormalWeb"/>
        <w:numPr>
          <w:ilvl w:val="0"/>
          <w:numId w:val="14"/>
        </w:numPr>
        <w:spacing w:before="0" w:beforeAutospacing="0"/>
        <w:rPr>
          <w:rFonts w:ascii="Arial" w:hAnsi="Arial" w:cs="Arial"/>
        </w:rPr>
      </w:pPr>
      <w:r w:rsidRPr="00D71E06">
        <w:rPr>
          <w:rStyle w:val="Strong"/>
          <w:rFonts w:ascii="Arial" w:hAnsi="Arial" w:cs="Arial"/>
        </w:rPr>
        <w:t>General Counsel Services:</w:t>
      </w:r>
      <w:r w:rsidRPr="00D71E06">
        <w:rPr>
          <w:rFonts w:ascii="Arial" w:hAnsi="Arial" w:cs="Arial"/>
        </w:rPr>
        <w:t xml:space="preserve"> Board governance, policy review, and legal compliance</w:t>
      </w:r>
    </w:p>
    <w:p w14:paraId="029039F9" w14:textId="4947EF76" w:rsidR="00D71E06" w:rsidRPr="00D71E06" w:rsidRDefault="00D71E06" w:rsidP="00D71E06">
      <w:pPr>
        <w:pStyle w:val="NormalWeb"/>
        <w:numPr>
          <w:ilvl w:val="0"/>
          <w:numId w:val="14"/>
        </w:numPr>
        <w:rPr>
          <w:rFonts w:ascii="Arial" w:hAnsi="Arial" w:cs="Arial"/>
        </w:rPr>
      </w:pPr>
      <w:r w:rsidRPr="00D71E06">
        <w:rPr>
          <w:rStyle w:val="Strong"/>
          <w:rFonts w:ascii="Arial" w:hAnsi="Arial" w:cs="Arial"/>
        </w:rPr>
        <w:t xml:space="preserve">Student </w:t>
      </w:r>
      <w:r w:rsidR="00EC34B5">
        <w:rPr>
          <w:rStyle w:val="Strong"/>
          <w:rFonts w:ascii="Arial" w:hAnsi="Arial" w:cs="Arial"/>
        </w:rPr>
        <w:t>Legal Matters</w:t>
      </w:r>
      <w:r w:rsidRPr="00D71E06">
        <w:rPr>
          <w:rStyle w:val="Strong"/>
          <w:rFonts w:ascii="Arial" w:hAnsi="Arial" w:cs="Arial"/>
        </w:rPr>
        <w:t>:</w:t>
      </w:r>
      <w:r w:rsidRPr="00D71E06">
        <w:rPr>
          <w:rFonts w:ascii="Arial" w:hAnsi="Arial" w:cs="Arial"/>
        </w:rPr>
        <w:t xml:space="preserve"> Discipline, enrollment, special education (IDEA), Section 504, bullying, and Title IX compliance</w:t>
      </w:r>
    </w:p>
    <w:p w14:paraId="720CA9A5" w14:textId="35E4E545" w:rsidR="00D71E06" w:rsidRPr="00D71E06" w:rsidRDefault="00D71E06" w:rsidP="00D71E06">
      <w:pPr>
        <w:pStyle w:val="NormalWeb"/>
        <w:numPr>
          <w:ilvl w:val="0"/>
          <w:numId w:val="14"/>
        </w:numPr>
        <w:rPr>
          <w:rFonts w:ascii="Arial" w:hAnsi="Arial" w:cs="Arial"/>
        </w:rPr>
      </w:pPr>
      <w:r w:rsidRPr="00D71E06">
        <w:rPr>
          <w:rStyle w:val="Strong"/>
          <w:rFonts w:ascii="Arial" w:hAnsi="Arial" w:cs="Arial"/>
        </w:rPr>
        <w:t>Employee Relations and Labor Negotiations:</w:t>
      </w:r>
      <w:r w:rsidRPr="00D71E06">
        <w:rPr>
          <w:rFonts w:ascii="Arial" w:hAnsi="Arial" w:cs="Arial"/>
        </w:rPr>
        <w:t xml:space="preserve"> Certificated and classified personnel matters, investigations, and collective bargaining</w:t>
      </w:r>
    </w:p>
    <w:p w14:paraId="6AD514E1" w14:textId="293C4B21" w:rsidR="00D71E06" w:rsidRPr="00D71E06" w:rsidRDefault="00D71E06" w:rsidP="00D71E06">
      <w:pPr>
        <w:pStyle w:val="NormalWeb"/>
        <w:numPr>
          <w:ilvl w:val="0"/>
          <w:numId w:val="14"/>
        </w:numPr>
        <w:rPr>
          <w:rFonts w:ascii="Arial" w:hAnsi="Arial" w:cs="Arial"/>
        </w:rPr>
      </w:pPr>
      <w:r w:rsidRPr="00D71E06">
        <w:rPr>
          <w:rStyle w:val="Strong"/>
          <w:rFonts w:ascii="Arial" w:hAnsi="Arial" w:cs="Arial"/>
        </w:rPr>
        <w:t>Facilities and Real Estate Guidance:</w:t>
      </w:r>
      <w:r w:rsidRPr="00D71E06">
        <w:rPr>
          <w:rFonts w:ascii="Arial" w:hAnsi="Arial" w:cs="Arial"/>
        </w:rPr>
        <w:t xml:space="preserve"> GO Bonds, developer fees, construction projects, and facilities use agreements</w:t>
      </w:r>
    </w:p>
    <w:p w14:paraId="0B8EE8C3" w14:textId="091AFA46" w:rsidR="00D71E06" w:rsidRPr="00D71E06" w:rsidRDefault="00D71E06" w:rsidP="00D71E06">
      <w:pPr>
        <w:pStyle w:val="NormalWeb"/>
        <w:numPr>
          <w:ilvl w:val="0"/>
          <w:numId w:val="14"/>
        </w:numPr>
        <w:rPr>
          <w:rFonts w:ascii="Arial" w:hAnsi="Arial" w:cs="Arial"/>
        </w:rPr>
      </w:pPr>
      <w:r w:rsidRPr="00D71E06">
        <w:rPr>
          <w:rStyle w:val="Strong"/>
          <w:rFonts w:ascii="Arial" w:hAnsi="Arial" w:cs="Arial"/>
        </w:rPr>
        <w:t>Charter School Oversight:</w:t>
      </w:r>
      <w:r w:rsidRPr="00D71E06">
        <w:rPr>
          <w:rFonts w:ascii="Arial" w:hAnsi="Arial" w:cs="Arial"/>
        </w:rPr>
        <w:t xml:space="preserve"> Petition review, renewal, revocation, and compliance monitoring</w:t>
      </w:r>
    </w:p>
    <w:p w14:paraId="04843F69" w14:textId="6AFFF544" w:rsidR="00D71E06" w:rsidRPr="00D71E06" w:rsidRDefault="00D71E06" w:rsidP="00D71E06">
      <w:pPr>
        <w:pStyle w:val="NormalWeb"/>
        <w:numPr>
          <w:ilvl w:val="0"/>
          <w:numId w:val="14"/>
        </w:numPr>
        <w:rPr>
          <w:rFonts w:ascii="Arial" w:hAnsi="Arial" w:cs="Arial"/>
        </w:rPr>
      </w:pPr>
      <w:r w:rsidRPr="00D71E06">
        <w:rPr>
          <w:rStyle w:val="Strong"/>
          <w:rFonts w:ascii="Arial" w:hAnsi="Arial" w:cs="Arial"/>
        </w:rPr>
        <w:t>Special Education Representation:</w:t>
      </w:r>
      <w:r w:rsidRPr="00D71E06">
        <w:rPr>
          <w:rFonts w:ascii="Arial" w:hAnsi="Arial" w:cs="Arial"/>
        </w:rPr>
        <w:t xml:space="preserve"> IEP support, due process hearings, and dispute resolution</w:t>
      </w:r>
    </w:p>
    <w:p w14:paraId="08B4478D" w14:textId="55CF9E31" w:rsidR="009A365A" w:rsidRDefault="00000000" w:rsidP="00D71E06">
      <w:r>
        <w:t>Our team has served as counsel to unified and elementary districts across California. Our collaborative style, practical advice, and knowledge of both school and municipal law make us uniquely suited for this engagement.</w:t>
      </w:r>
      <w:r w:rsidR="00EC34B5">
        <w:t xml:space="preserve"> We are available to provide services in all six legal areas outlined in the RFP</w:t>
      </w:r>
      <w:r w:rsidR="00F90459">
        <w:t>.</w:t>
      </w:r>
    </w:p>
    <w:p w14:paraId="0729AE50" w14:textId="31EDAB96" w:rsidR="009A365A" w:rsidRDefault="00000000">
      <w:r>
        <w:t xml:space="preserve">We appreciate the opportunity to be considered and look forward to the potential to support </w:t>
      </w:r>
      <w:r w:rsidR="007528A9">
        <w:t xml:space="preserve">Morgan </w:t>
      </w:r>
      <w:r>
        <w:t xml:space="preserve">Valley Unified </w:t>
      </w:r>
      <w:r w:rsidR="007528A9">
        <w:t xml:space="preserve">School District </w:t>
      </w:r>
      <w:r>
        <w:t>in achieving its educational mission.</w:t>
      </w:r>
    </w:p>
    <w:p w14:paraId="4F391E09" w14:textId="09B1F04D" w:rsidR="00B404C2" w:rsidRPr="00B404C2" w:rsidRDefault="00B404C2" w:rsidP="00B404C2">
      <w:pPr>
        <w:jc w:val="center"/>
        <w:rPr>
          <w:b/>
          <w:bCs/>
          <w:sz w:val="28"/>
          <w:szCs w:val="28"/>
        </w:rPr>
      </w:pPr>
      <w:r w:rsidRPr="00B404C2">
        <w:rPr>
          <w:b/>
          <w:bCs/>
          <w:sz w:val="28"/>
          <w:szCs w:val="28"/>
        </w:rPr>
        <w:lastRenderedPageBreak/>
        <w:t>Version 2: Decision-Making Format</w:t>
      </w:r>
    </w:p>
    <w:p w14:paraId="3B717377" w14:textId="4115EB0C" w:rsidR="00B404C2" w:rsidRDefault="00B404C2" w:rsidP="00B404C2">
      <w:r>
        <w:rPr>
          <w:rStyle w:val="Strong"/>
        </w:rPr>
        <w:t>Executive Summary</w:t>
      </w:r>
      <w:r>
        <w:br/>
        <w:t>The Morgan Valley Unified School District is seeking experienced outside legal counsel to manage increasingly complex legal, governance, and compliance issues across student matters, facilities, and charter school operations. As the District expands, timely and expert legal support is essential to reduce exposure, manage risk, and ensure compliance with state and federal education laws.</w:t>
      </w:r>
    </w:p>
    <w:p w14:paraId="3C6EB621" w14:textId="3B62F451" w:rsidR="00B404C2" w:rsidRDefault="00B404C2" w:rsidP="00B404C2">
      <w:r>
        <w:t>Timely engagement of dedicated legal counsel will streamline board operations, ensure compliance with Brown Act and IDEA requirements, reduce costly delays in facilities planning, and strengthen labor relations—ultimately saving the District both time and money.</w:t>
      </w:r>
    </w:p>
    <w:p w14:paraId="7E4DD7D7" w14:textId="091EAAD6" w:rsidR="00B404C2" w:rsidRDefault="00B404C2" w:rsidP="00B404C2">
      <w:r>
        <w:rPr>
          <w:rStyle w:val="Strong"/>
        </w:rPr>
        <w:t>Proposal</w:t>
      </w:r>
      <w:r>
        <w:br/>
        <w:t>To support the District’s needs, Monroe, Ashton &amp; Vale LLP proposes to serve as outside legal counsel with the following core services:</w:t>
      </w:r>
    </w:p>
    <w:p w14:paraId="0B5E5ABB" w14:textId="77777777" w:rsidR="00B404C2" w:rsidRDefault="00B404C2" w:rsidP="00B404C2">
      <w:pPr>
        <w:pStyle w:val="ListParagraph"/>
        <w:numPr>
          <w:ilvl w:val="0"/>
          <w:numId w:val="16"/>
        </w:numPr>
      </w:pPr>
      <w:r>
        <w:rPr>
          <w:rStyle w:val="Strong"/>
        </w:rPr>
        <w:t>General Legal Counsel</w:t>
      </w:r>
      <w:r>
        <w:t xml:space="preserve"> (Section 2.1): We provide board governance support, policy review, election guidance, and legal compliance advisory aligned with California Education Code and Brown Act requirements.</w:t>
      </w:r>
    </w:p>
    <w:p w14:paraId="3DCB6291" w14:textId="77777777" w:rsidR="00B404C2" w:rsidRDefault="00B404C2" w:rsidP="00B404C2">
      <w:pPr>
        <w:pStyle w:val="ListParagraph"/>
        <w:numPr>
          <w:ilvl w:val="0"/>
          <w:numId w:val="16"/>
        </w:numPr>
      </w:pPr>
      <w:r>
        <w:rPr>
          <w:rStyle w:val="Strong"/>
        </w:rPr>
        <w:t>Student Legal Matters</w:t>
      </w:r>
      <w:r>
        <w:t xml:space="preserve"> (Section 2.2): Our attorneys handle student discipline, enrollment, Title IX, IDEA and Section 504 issues, and represent the district in hearings when needed.</w:t>
      </w:r>
    </w:p>
    <w:p w14:paraId="3E913C14" w14:textId="77777777" w:rsidR="00B404C2" w:rsidRDefault="00B404C2" w:rsidP="00B404C2">
      <w:pPr>
        <w:pStyle w:val="ListParagraph"/>
        <w:numPr>
          <w:ilvl w:val="0"/>
          <w:numId w:val="16"/>
        </w:numPr>
      </w:pPr>
      <w:r>
        <w:rPr>
          <w:rStyle w:val="Strong"/>
        </w:rPr>
        <w:t>Labor and Employment</w:t>
      </w:r>
      <w:r>
        <w:t xml:space="preserve"> (Section 2.3): We manage certificated/classified negotiations, investigations, and PERB matters.</w:t>
      </w:r>
    </w:p>
    <w:p w14:paraId="64BA9837" w14:textId="77777777" w:rsidR="00B404C2" w:rsidRDefault="00B404C2" w:rsidP="00B404C2">
      <w:pPr>
        <w:pStyle w:val="ListParagraph"/>
        <w:numPr>
          <w:ilvl w:val="0"/>
          <w:numId w:val="16"/>
        </w:numPr>
      </w:pPr>
      <w:r>
        <w:rPr>
          <w:rStyle w:val="Strong"/>
        </w:rPr>
        <w:t>Facilities and Real Estate</w:t>
      </w:r>
      <w:r>
        <w:t xml:space="preserve"> (Section 2.4): Our team supports bond-funded construction, facilities agreements, and developer fee questions.</w:t>
      </w:r>
    </w:p>
    <w:p w14:paraId="656E64B9" w14:textId="77777777" w:rsidR="00B404C2" w:rsidRDefault="00B404C2" w:rsidP="00B404C2">
      <w:pPr>
        <w:pStyle w:val="ListParagraph"/>
        <w:numPr>
          <w:ilvl w:val="0"/>
          <w:numId w:val="16"/>
        </w:numPr>
      </w:pPr>
      <w:r>
        <w:rPr>
          <w:rStyle w:val="Strong"/>
        </w:rPr>
        <w:t>Charter School Oversight</w:t>
      </w:r>
      <w:r>
        <w:t xml:space="preserve"> (Section 2.5): Including charter petition review, revocation procedures, and Proposition 39 facility requests.</w:t>
      </w:r>
    </w:p>
    <w:p w14:paraId="40CAAA40" w14:textId="011133E4" w:rsidR="00B404C2" w:rsidRDefault="00B404C2" w:rsidP="00B404C2">
      <w:pPr>
        <w:pStyle w:val="ListParagraph"/>
        <w:numPr>
          <w:ilvl w:val="0"/>
          <w:numId w:val="16"/>
        </w:numPr>
      </w:pPr>
      <w:r>
        <w:rPr>
          <w:rStyle w:val="Strong"/>
        </w:rPr>
        <w:t>Special Education Representation</w:t>
      </w:r>
      <w:r>
        <w:t xml:space="preserve"> (Section 2.6): We represent the district in due process proceedings and provide proactive advisory to reduce litigation risk.</w:t>
      </w:r>
    </w:p>
    <w:p w14:paraId="1E0BAF18" w14:textId="5CE5B643" w:rsidR="00B404C2" w:rsidRDefault="00B404C2" w:rsidP="00B404C2">
      <w:r>
        <w:rPr>
          <w:rStyle w:val="Strong"/>
        </w:rPr>
        <w:t>Risks</w:t>
      </w:r>
      <w:r>
        <w:br/>
        <w:t>One potential concern is that onboarding new legal counsel can create temporary delays in active matters. We mitigate this risk by assigning a senior attorney as onboarding lead, with direct experience in school district transitions. All required background briefings will be completed within the first 10 business days of engagement (see Section 3.1).</w:t>
      </w:r>
      <w:r w:rsidR="005628AB">
        <w:t xml:space="preserve"> </w:t>
      </w:r>
    </w:p>
    <w:p w14:paraId="282ADED9" w14:textId="572B3D0B" w:rsidR="00B404C2" w:rsidRDefault="00B404C2" w:rsidP="00B404C2">
      <w:r>
        <w:rPr>
          <w:rStyle w:val="Strong"/>
        </w:rPr>
        <w:t>Recommendation</w:t>
      </w:r>
      <w:r>
        <w:br/>
        <w:t xml:space="preserve">We respectfully request approval to engage Monroe, Ashton &amp; Vale LLP as </w:t>
      </w:r>
      <w:r>
        <w:lastRenderedPageBreak/>
        <w:t>outside legal counsel for all six legal service categories described in the RFP. A timely decision will allow counsel to prepare in advance of the fall board meeting cycle and ensure legal continuity as district demands increase.</w:t>
      </w:r>
    </w:p>
    <w:p w14:paraId="4E7BF9CE" w14:textId="77777777" w:rsidR="00B404C2" w:rsidRDefault="00B404C2" w:rsidP="00B404C2"/>
    <w:sectPr w:rsidR="00B404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A86D91"/>
    <w:multiLevelType w:val="hybridMultilevel"/>
    <w:tmpl w:val="DF72C08C"/>
    <w:lvl w:ilvl="0" w:tplc="E41832D2">
      <w:start w:val="5"/>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857B0E"/>
    <w:multiLevelType w:val="hybridMultilevel"/>
    <w:tmpl w:val="181A1C56"/>
    <w:lvl w:ilvl="0" w:tplc="B952F0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4139"/>
    <w:multiLevelType w:val="hybridMultilevel"/>
    <w:tmpl w:val="78FA890E"/>
    <w:lvl w:ilvl="0" w:tplc="FE328C9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D4ECD"/>
    <w:multiLevelType w:val="multilevel"/>
    <w:tmpl w:val="9F3C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816F89"/>
    <w:multiLevelType w:val="hybridMultilevel"/>
    <w:tmpl w:val="38BE5414"/>
    <w:lvl w:ilvl="0" w:tplc="E41832D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C58F0"/>
    <w:multiLevelType w:val="hybridMultilevel"/>
    <w:tmpl w:val="06F0A990"/>
    <w:lvl w:ilvl="0" w:tplc="E41832D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D4200"/>
    <w:multiLevelType w:val="hybridMultilevel"/>
    <w:tmpl w:val="5B66B5EE"/>
    <w:lvl w:ilvl="0" w:tplc="E41832D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364755">
    <w:abstractNumId w:val="8"/>
  </w:num>
  <w:num w:numId="2" w16cid:durableId="1279684708">
    <w:abstractNumId w:val="6"/>
  </w:num>
  <w:num w:numId="3" w16cid:durableId="180557809">
    <w:abstractNumId w:val="5"/>
  </w:num>
  <w:num w:numId="4" w16cid:durableId="543635419">
    <w:abstractNumId w:val="4"/>
  </w:num>
  <w:num w:numId="5" w16cid:durableId="1706910274">
    <w:abstractNumId w:val="7"/>
  </w:num>
  <w:num w:numId="6" w16cid:durableId="67654399">
    <w:abstractNumId w:val="3"/>
  </w:num>
  <w:num w:numId="7" w16cid:durableId="1400711179">
    <w:abstractNumId w:val="2"/>
  </w:num>
  <w:num w:numId="8" w16cid:durableId="1890218494">
    <w:abstractNumId w:val="1"/>
  </w:num>
  <w:num w:numId="9" w16cid:durableId="184253474">
    <w:abstractNumId w:val="0"/>
  </w:num>
  <w:num w:numId="10" w16cid:durableId="697121725">
    <w:abstractNumId w:val="10"/>
  </w:num>
  <w:num w:numId="11" w16cid:durableId="717124831">
    <w:abstractNumId w:val="14"/>
  </w:num>
  <w:num w:numId="12" w16cid:durableId="283579327">
    <w:abstractNumId w:val="13"/>
  </w:num>
  <w:num w:numId="13" w16cid:durableId="601650416">
    <w:abstractNumId w:val="11"/>
  </w:num>
  <w:num w:numId="14" w16cid:durableId="700594195">
    <w:abstractNumId w:val="9"/>
  </w:num>
  <w:num w:numId="15" w16cid:durableId="123235715">
    <w:abstractNumId w:val="12"/>
  </w:num>
  <w:num w:numId="16" w16cid:durableId="98455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628AB"/>
    <w:rsid w:val="007179AD"/>
    <w:rsid w:val="007528A9"/>
    <w:rsid w:val="00984957"/>
    <w:rsid w:val="009A365A"/>
    <w:rsid w:val="009B030E"/>
    <w:rsid w:val="00AA1D8D"/>
    <w:rsid w:val="00B404C2"/>
    <w:rsid w:val="00B47730"/>
    <w:rsid w:val="00B74B96"/>
    <w:rsid w:val="00C908BB"/>
    <w:rsid w:val="00CB0664"/>
    <w:rsid w:val="00D71E06"/>
    <w:rsid w:val="00EC2294"/>
    <w:rsid w:val="00EC34B5"/>
    <w:rsid w:val="00EC5317"/>
    <w:rsid w:val="00F00C8D"/>
    <w:rsid w:val="00F90459"/>
    <w:rsid w:val="00FC693F"/>
    <w:rsid w:val="00FF1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4C1CA"/>
  <w14:defaultImageDpi w14:val="300"/>
  <w15:docId w15:val="{C3A10087-33F6-B049-BA82-73A2F3F1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71E0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721151">
      <w:bodyDiv w:val="1"/>
      <w:marLeft w:val="0"/>
      <w:marRight w:val="0"/>
      <w:marTop w:val="0"/>
      <w:marBottom w:val="0"/>
      <w:divBdr>
        <w:top w:val="none" w:sz="0" w:space="0" w:color="auto"/>
        <w:left w:val="none" w:sz="0" w:space="0" w:color="auto"/>
        <w:bottom w:val="none" w:sz="0" w:space="0" w:color="auto"/>
        <w:right w:val="none" w:sz="0" w:space="0" w:color="auto"/>
      </w:divBdr>
    </w:div>
    <w:div w:id="2091803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Theme One</cp:lastModifiedBy>
  <cp:revision>2</cp:revision>
  <dcterms:created xsi:type="dcterms:W3CDTF">2025-07-22T15:17:00Z</dcterms:created>
  <dcterms:modified xsi:type="dcterms:W3CDTF">2025-07-22T15:17:00Z</dcterms:modified>
  <cp:category/>
</cp:coreProperties>
</file>